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CE52B" w14:textId="20DFB9A0" w:rsidR="009367EF" w:rsidRPr="006947A0" w:rsidRDefault="00AA529E" w:rsidP="006947A0">
      <w:pPr>
        <w:pStyle w:val="GuideSpec"/>
        <w:rPr>
          <w:b/>
          <w:bCs/>
          <w:sz w:val="24"/>
          <w:szCs w:val="24"/>
        </w:rPr>
      </w:pPr>
      <w:r w:rsidRPr="006947A0">
        <w:rPr>
          <w:b/>
          <w:bCs/>
          <w:noProof/>
          <w:sz w:val="24"/>
          <w:szCs w:val="24"/>
        </w:rPr>
        <w:drawing>
          <wp:anchor distT="0" distB="0" distL="114300" distR="114300" simplePos="0" relativeHeight="251657728" behindDoc="0" locked="0" layoutInCell="1" allowOverlap="1" wp14:anchorId="04FC27AB" wp14:editId="25837407">
            <wp:simplePos x="0" y="0"/>
            <wp:positionH relativeFrom="page">
              <wp:posOffset>-14630</wp:posOffset>
            </wp:positionH>
            <wp:positionV relativeFrom="paragraph">
              <wp:posOffset>-1711757</wp:posOffset>
            </wp:positionV>
            <wp:extent cx="7757795" cy="1542415"/>
            <wp:effectExtent l="0" t="0" r="0" b="63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7795"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7EF" w:rsidRPr="006947A0">
        <w:rPr>
          <w:b/>
          <w:bCs/>
          <w:sz w:val="24"/>
          <w:szCs w:val="24"/>
        </w:rPr>
        <w:t xml:space="preserve">EUCOBAR </w:t>
      </w:r>
      <w:r w:rsidR="009D55E5">
        <w:rPr>
          <w:b/>
          <w:bCs/>
          <w:sz w:val="24"/>
          <w:szCs w:val="24"/>
        </w:rPr>
        <w:t>and EUCOBAR RTU</w:t>
      </w:r>
    </w:p>
    <w:p w14:paraId="54E0630F" w14:textId="2A14C02A" w:rsidR="009367EF" w:rsidRDefault="00825C65" w:rsidP="009367EF">
      <w:pPr>
        <w:pStyle w:val="guideSUBHEAD"/>
      </w:pPr>
      <w:r>
        <w:t xml:space="preserve">Surface Applied </w:t>
      </w:r>
      <w:r w:rsidR="009367EF" w:rsidRPr="009367EF">
        <w:t>Evaporation Retarder</w:t>
      </w:r>
    </w:p>
    <w:p w14:paraId="64E242F8" w14:textId="2271F16C" w:rsidR="00825C65" w:rsidRPr="006947A0" w:rsidRDefault="00825C65" w:rsidP="009367EF">
      <w:pPr>
        <w:pStyle w:val="guideSUBHEAD"/>
        <w:rPr>
          <w:b w:val="0"/>
          <w:bCs/>
        </w:rPr>
      </w:pPr>
      <w:r w:rsidRPr="006947A0">
        <w:rPr>
          <w:b w:val="0"/>
          <w:bCs/>
        </w:rPr>
        <w:t>EUCOBAR is designed to be used as an evaporation retardant and finishing aid on concrete surfaces of all types. When sprayed over fresh concrete, EUCOBAR forms a monomolecular film that prevents rapid moisture loss from the concrete surface</w:t>
      </w:r>
      <w:r w:rsidR="00007D19">
        <w:rPr>
          <w:b w:val="0"/>
          <w:bCs/>
        </w:rPr>
        <w:t xml:space="preserve">. </w:t>
      </w:r>
      <w:r w:rsidR="00397DA9">
        <w:rPr>
          <w:b w:val="0"/>
          <w:bCs/>
        </w:rPr>
        <w:t xml:space="preserve">Standard EUCOBAR is </w:t>
      </w:r>
      <w:r w:rsidR="00816926">
        <w:rPr>
          <w:b w:val="0"/>
          <w:bCs/>
        </w:rPr>
        <w:t xml:space="preserve">supplied as a </w:t>
      </w:r>
      <w:proofErr w:type="gramStart"/>
      <w:r w:rsidR="00816926">
        <w:rPr>
          <w:b w:val="0"/>
          <w:bCs/>
        </w:rPr>
        <w:t>concentrate</w:t>
      </w:r>
      <w:proofErr w:type="gramEnd"/>
      <w:r w:rsidR="00816926">
        <w:rPr>
          <w:b w:val="0"/>
          <w:bCs/>
        </w:rPr>
        <w:t xml:space="preserve"> and is diluted in the field. </w:t>
      </w:r>
      <w:r w:rsidR="00397DA9" w:rsidRPr="00397DA9">
        <w:rPr>
          <w:b w:val="0"/>
          <w:bCs/>
        </w:rPr>
        <w:t>EUCOBAR RTU is supplied pre-</w:t>
      </w:r>
      <w:proofErr w:type="gramStart"/>
      <w:r w:rsidR="00397DA9" w:rsidRPr="00397DA9">
        <w:rPr>
          <w:b w:val="0"/>
          <w:bCs/>
        </w:rPr>
        <w:t>diluted, and</w:t>
      </w:r>
      <w:proofErr w:type="gramEnd"/>
      <w:r w:rsidR="00397DA9" w:rsidRPr="00397DA9">
        <w:rPr>
          <w:b w:val="0"/>
          <w:bCs/>
        </w:rPr>
        <w:t xml:space="preserve"> does not require the addition of water before using.</w:t>
      </w:r>
    </w:p>
    <w:p w14:paraId="1659B108" w14:textId="77777777" w:rsidR="00133D5F" w:rsidRPr="009367EF" w:rsidRDefault="00133D5F" w:rsidP="009367EF">
      <w:pPr>
        <w:pStyle w:val="guideSUBHEAD"/>
      </w:pPr>
    </w:p>
    <w:p w14:paraId="58C52A96" w14:textId="31C38B0D" w:rsidR="009367EF" w:rsidRPr="009367EF" w:rsidRDefault="00DF77D2" w:rsidP="009367EF">
      <w:pPr>
        <w:pStyle w:val="guideNOTE"/>
      </w:pPr>
      <w:r w:rsidRPr="00DF77D2">
        <w:t xml:space="preserve">{Note to Specifier: The paragraphs below are meant to be incorporated into a standard CSI 3 Part Format specification (normally 03 30 00), the General Structural Notes, or directly onto the plans. They must be carefully reviewed and edited by a qualified design professional to meet the requirements of the project and governing building codes. Coordinate with other </w:t>
      </w:r>
      <w:proofErr w:type="gramStart"/>
      <w:r w:rsidRPr="00DF77D2">
        <w:t>specification sections</w:t>
      </w:r>
      <w:proofErr w:type="gramEnd"/>
      <w:r w:rsidRPr="00DF77D2">
        <w:t xml:space="preserve"> and drawings. In no case shall these Guide Specifications </w:t>
      </w:r>
      <w:proofErr w:type="gramStart"/>
      <w:r w:rsidRPr="00DF77D2">
        <w:t>be considered to be</w:t>
      </w:r>
      <w:proofErr w:type="gramEnd"/>
      <w:r w:rsidRPr="00DF77D2">
        <w:t xml:space="preserve"> Contract Documents or serve as installation instructions for the product being discussed. In any </w:t>
      </w:r>
      <w:proofErr w:type="gramStart"/>
      <w:r w:rsidRPr="00DF77D2">
        <w:t>cases</w:t>
      </w:r>
      <w:proofErr w:type="gramEnd"/>
      <w:r w:rsidRPr="00DF77D2">
        <w:t xml:space="preserve"> of </w:t>
      </w:r>
      <w:proofErr w:type="gramStart"/>
      <w:r w:rsidRPr="00DF77D2">
        <w:t>discrepancy</w:t>
      </w:r>
      <w:proofErr w:type="gramEnd"/>
      <w:r w:rsidRPr="00DF77D2">
        <w:t xml:space="preserve"> the manufacturer's most recently published data sheet shall take </w:t>
      </w:r>
      <w:proofErr w:type="gramStart"/>
      <w:r w:rsidRPr="00DF77D2">
        <w:t>precedence.}</w:t>
      </w:r>
      <w:proofErr w:type="gramEnd"/>
    </w:p>
    <w:p w14:paraId="1EFFA52B" w14:textId="77777777" w:rsidR="009367EF" w:rsidRPr="009367EF" w:rsidRDefault="009367EF" w:rsidP="009367EF">
      <w:pPr>
        <w:pStyle w:val="GuideSpec"/>
      </w:pPr>
    </w:p>
    <w:p w14:paraId="507032F2" w14:textId="77777777" w:rsidR="009367EF" w:rsidRPr="009367EF" w:rsidRDefault="009367EF" w:rsidP="009367EF">
      <w:pPr>
        <w:pStyle w:val="GuideSpec"/>
      </w:pPr>
      <w:r w:rsidRPr="009367EF">
        <w:t>PART 2:</w:t>
      </w:r>
      <w:r w:rsidRPr="009367EF">
        <w:tab/>
        <w:t>PRODUCTS</w:t>
      </w:r>
    </w:p>
    <w:p w14:paraId="7B5F3CF6" w14:textId="77777777" w:rsidR="009367EF" w:rsidRPr="009367EF" w:rsidRDefault="009367EF" w:rsidP="009367EF">
      <w:pPr>
        <w:pStyle w:val="GuideSpec"/>
      </w:pPr>
    </w:p>
    <w:p w14:paraId="0C720460" w14:textId="5BD5AAD9" w:rsidR="00AB08F5" w:rsidRPr="006947A0" w:rsidRDefault="00AB08F5" w:rsidP="00AB08F5">
      <w:pPr>
        <w:pStyle w:val="GuideSpec"/>
        <w:rPr>
          <w:i/>
          <w:iCs/>
          <w:color w:val="215E99" w:themeColor="text2" w:themeTint="BF"/>
        </w:rPr>
      </w:pPr>
      <w:r w:rsidRPr="006947A0">
        <w:rPr>
          <w:i/>
          <w:iCs/>
          <w:color w:val="215E99" w:themeColor="text2" w:themeTint="BF"/>
        </w:rPr>
        <w:t>Note to Specifier: Insert the following paragraph into the Curing Materials article of your specifications.</w:t>
      </w:r>
    </w:p>
    <w:p w14:paraId="2118DD89" w14:textId="77777777" w:rsidR="00AB08F5" w:rsidRDefault="00AB08F5" w:rsidP="009367EF">
      <w:pPr>
        <w:pStyle w:val="GuideSpec"/>
      </w:pPr>
    </w:p>
    <w:p w14:paraId="0FB29B69" w14:textId="433D0FA9" w:rsidR="009367EF" w:rsidRPr="009367EF" w:rsidRDefault="009367EF" w:rsidP="009367EF">
      <w:pPr>
        <w:pStyle w:val="GuideSpec"/>
      </w:pPr>
      <w:r w:rsidRPr="009367EF">
        <w:t>2.</w:t>
      </w:r>
      <w:r w:rsidR="00AB08F5">
        <w:t>01</w:t>
      </w:r>
      <w:r w:rsidRPr="009367EF">
        <w:tab/>
      </w:r>
      <w:r w:rsidR="006F6CE1">
        <w:t>CURING MATERIALS</w:t>
      </w:r>
    </w:p>
    <w:p w14:paraId="5200D04D" w14:textId="77777777" w:rsidR="009367EF" w:rsidRPr="009367EF" w:rsidRDefault="009367EF" w:rsidP="009367EF">
      <w:pPr>
        <w:pStyle w:val="GuideSpec"/>
      </w:pPr>
    </w:p>
    <w:p w14:paraId="04440CEB" w14:textId="188EB105" w:rsidR="009367EF" w:rsidRPr="009367EF" w:rsidRDefault="009367EF" w:rsidP="009367EF">
      <w:pPr>
        <w:pStyle w:val="A0"/>
      </w:pPr>
      <w:r w:rsidRPr="009367EF">
        <w:t>A.</w:t>
      </w:r>
      <w:r w:rsidRPr="009367EF">
        <w:tab/>
      </w:r>
      <w:r w:rsidR="0049406A" w:rsidRPr="006947A0">
        <w:rPr>
          <w:b/>
          <w:bCs/>
        </w:rPr>
        <w:t xml:space="preserve">Surface Applied </w:t>
      </w:r>
      <w:r w:rsidR="008C0018" w:rsidRPr="006947A0">
        <w:rPr>
          <w:b/>
          <w:bCs/>
        </w:rPr>
        <w:t>Evaporation Retarder:</w:t>
      </w:r>
      <w:r w:rsidR="008C0018" w:rsidRPr="008C0018">
        <w:t xml:space="preserve"> </w:t>
      </w:r>
      <w:r w:rsidR="002B7843">
        <w:t>Spray applied, w</w:t>
      </w:r>
      <w:r w:rsidR="008C0018" w:rsidRPr="008C0018">
        <w:t>aterborne, monomolecular film forming, manufactured for application to fresh concrete.</w:t>
      </w:r>
      <w:r w:rsidR="00C27233">
        <w:t xml:space="preserve"> </w:t>
      </w:r>
      <w:proofErr w:type="gramStart"/>
      <w:r w:rsidR="00C27233" w:rsidRPr="009367EF">
        <w:t>Manufacturer</w:t>
      </w:r>
      <w:proofErr w:type="gramEnd"/>
      <w:r w:rsidR="00C27233" w:rsidRPr="009367EF">
        <w:t xml:space="preserve"> </w:t>
      </w:r>
      <w:r w:rsidR="00C27233">
        <w:t>must</w:t>
      </w:r>
      <w:r w:rsidR="00C27233" w:rsidRPr="009367EF">
        <w:t xml:space="preserve"> have ISO 9001 Quality Certification. To ensure compatibility all products shall be from the same manufacturer.</w:t>
      </w:r>
      <w:r w:rsidRPr="009367EF">
        <w:t xml:space="preserve">  </w:t>
      </w:r>
    </w:p>
    <w:p w14:paraId="41B038E9" w14:textId="1430A24E" w:rsidR="009367EF" w:rsidRPr="009367EF" w:rsidRDefault="009367EF" w:rsidP="009367EF">
      <w:pPr>
        <w:pStyle w:val="10"/>
      </w:pPr>
      <w:r w:rsidRPr="009367EF">
        <w:t>1.</w:t>
      </w:r>
      <w:r w:rsidRPr="009367EF">
        <w:tab/>
      </w:r>
      <w:r w:rsidR="0049406A">
        <w:t xml:space="preserve">Basis of Design </w:t>
      </w:r>
      <w:r w:rsidRPr="009367EF">
        <w:t>Product:</w:t>
      </w:r>
    </w:p>
    <w:p w14:paraId="20841C90" w14:textId="7D995904" w:rsidR="009367EF" w:rsidRPr="006947A0" w:rsidRDefault="009367EF" w:rsidP="009367EF">
      <w:pPr>
        <w:pStyle w:val="a"/>
        <w:rPr>
          <w:b/>
          <w:bCs/>
          <w:u w:val="single"/>
        </w:rPr>
      </w:pPr>
      <w:r w:rsidRPr="006947A0">
        <w:rPr>
          <w:b/>
          <w:bCs/>
        </w:rPr>
        <w:t>a)</w:t>
      </w:r>
      <w:r w:rsidRPr="006947A0">
        <w:rPr>
          <w:b/>
          <w:bCs/>
        </w:rPr>
        <w:tab/>
        <w:t xml:space="preserve">Euclid Chemical Company (The); </w:t>
      </w:r>
      <w:r w:rsidR="00DE3534" w:rsidRPr="006947A0">
        <w:rPr>
          <w:b/>
          <w:bCs/>
        </w:rPr>
        <w:t>EUCOBAR or EUCOBAR RTU</w:t>
      </w:r>
      <w:r w:rsidRPr="006947A0">
        <w:rPr>
          <w:b/>
          <w:bCs/>
        </w:rPr>
        <w:t xml:space="preserve">, </w:t>
      </w:r>
      <w:r w:rsidRPr="006947A0">
        <w:rPr>
          <w:b/>
          <w:bCs/>
          <w:u w:val="single"/>
        </w:rPr>
        <w:t>www.euclidchemical.com</w:t>
      </w:r>
    </w:p>
    <w:p w14:paraId="07487298" w14:textId="77777777" w:rsidR="009367EF" w:rsidRPr="009367EF" w:rsidRDefault="009367EF" w:rsidP="009367EF">
      <w:pPr>
        <w:pStyle w:val="GuideSpec"/>
      </w:pPr>
    </w:p>
    <w:p w14:paraId="4919FC98" w14:textId="1111CA2A" w:rsidR="006913F9" w:rsidRDefault="00B1171E" w:rsidP="009367EF">
      <w:pPr>
        <w:pStyle w:val="GuideSpec"/>
      </w:pPr>
      <w:r>
        <w:t>PART 3:</w:t>
      </w:r>
      <w:r>
        <w:tab/>
        <w:t>EXECUTION</w:t>
      </w:r>
    </w:p>
    <w:p w14:paraId="615A545D" w14:textId="77777777" w:rsidR="00B1171E" w:rsidRDefault="00B1171E" w:rsidP="009367EF">
      <w:pPr>
        <w:pStyle w:val="GuideSpec"/>
      </w:pPr>
    </w:p>
    <w:p w14:paraId="5EADD9CC" w14:textId="77777777" w:rsidR="00BB343F" w:rsidRDefault="00BB343F" w:rsidP="00BB343F">
      <w:pPr>
        <w:pStyle w:val="A0"/>
        <w:ind w:left="0" w:firstLine="0"/>
      </w:pPr>
      <w:r>
        <w:t>3.01</w:t>
      </w:r>
      <w:r>
        <w:tab/>
        <w:t>CONCRETE CURING</w:t>
      </w:r>
    </w:p>
    <w:p w14:paraId="4E894B37" w14:textId="77777777" w:rsidR="00BB343F" w:rsidRDefault="00BB343F" w:rsidP="00BB343F">
      <w:pPr>
        <w:pStyle w:val="A0"/>
        <w:ind w:left="0" w:firstLine="0"/>
      </w:pPr>
    </w:p>
    <w:p w14:paraId="04174A3C" w14:textId="05BC06FC" w:rsidR="00BB343F" w:rsidRPr="00731F30" w:rsidRDefault="00BB343F" w:rsidP="00BB343F">
      <w:pPr>
        <w:pStyle w:val="A0"/>
        <w:ind w:left="0" w:firstLine="0"/>
        <w:rPr>
          <w:i/>
          <w:iCs/>
          <w:color w:val="215E99"/>
        </w:rPr>
      </w:pPr>
      <w:r w:rsidRPr="00731F30">
        <w:rPr>
          <w:i/>
          <w:iCs/>
          <w:color w:val="215E99"/>
        </w:rPr>
        <w:t xml:space="preserve">Note to Specifier: Insert the following paragraph into the Curing </w:t>
      </w:r>
      <w:r>
        <w:rPr>
          <w:i/>
          <w:iCs/>
          <w:color w:val="215E99"/>
        </w:rPr>
        <w:t xml:space="preserve">Execution </w:t>
      </w:r>
      <w:r w:rsidRPr="00731F30">
        <w:rPr>
          <w:i/>
          <w:iCs/>
          <w:color w:val="215E99"/>
        </w:rPr>
        <w:t xml:space="preserve">article of your specifications. See Euclid </w:t>
      </w:r>
      <w:r w:rsidR="007B0D12">
        <w:rPr>
          <w:i/>
          <w:iCs/>
          <w:color w:val="215E99"/>
        </w:rPr>
        <w:t>EUCOSHIELD</w:t>
      </w:r>
      <w:r w:rsidRPr="00731F30">
        <w:rPr>
          <w:i/>
          <w:iCs/>
          <w:color w:val="215E99"/>
        </w:rPr>
        <w:t xml:space="preserve"> for additional specification language </w:t>
      </w:r>
      <w:r w:rsidR="00D31BA3">
        <w:rPr>
          <w:i/>
          <w:iCs/>
          <w:color w:val="215E99"/>
        </w:rPr>
        <w:t>on</w:t>
      </w:r>
      <w:r w:rsidRPr="00731F30">
        <w:rPr>
          <w:i/>
          <w:iCs/>
          <w:color w:val="215E99"/>
        </w:rPr>
        <w:t xml:space="preserve"> </w:t>
      </w:r>
      <w:r w:rsidR="00215230">
        <w:rPr>
          <w:i/>
          <w:iCs/>
          <w:color w:val="215E99"/>
        </w:rPr>
        <w:t>integral finishing aid admixtures</w:t>
      </w:r>
      <w:r w:rsidRPr="00731F30">
        <w:rPr>
          <w:i/>
          <w:iCs/>
          <w:color w:val="215E99"/>
        </w:rPr>
        <w:t>.</w:t>
      </w:r>
      <w:r>
        <w:rPr>
          <w:i/>
          <w:iCs/>
          <w:color w:val="215E99"/>
        </w:rPr>
        <w:t xml:space="preserve"> Note that surface applied evaporation retarders and integral finishing aid admixtures are meant to be used to protect fresh concrete from early evaporation during concrete placement and finishing. They do not provide final curing protection to the concrete. See ACI 308 for concrete curing recommendations. See Euclid Chemical’s Curing and Curing and Sealing products for information and guide specifications on curing compounds meeting ASTM C309 and ASTM C1315. </w:t>
      </w:r>
    </w:p>
    <w:p w14:paraId="0C879DB1" w14:textId="77777777" w:rsidR="00BB343F" w:rsidRDefault="00BB343F" w:rsidP="00BB343F">
      <w:pPr>
        <w:pStyle w:val="A0"/>
        <w:ind w:left="0" w:firstLine="0"/>
      </w:pPr>
    </w:p>
    <w:p w14:paraId="49B94420" w14:textId="77777777" w:rsidR="00BB343F" w:rsidRDefault="00BB343F" w:rsidP="00BB343F">
      <w:pPr>
        <w:pStyle w:val="A0"/>
      </w:pPr>
      <w:r>
        <w:t>A.</w:t>
      </w:r>
      <w:r>
        <w:tab/>
        <w:t>Protect freshly placed concrete from premature drying and excessive cold or hot temperatures.</w:t>
      </w:r>
    </w:p>
    <w:p w14:paraId="63775BA3" w14:textId="77777777" w:rsidR="00BB343F" w:rsidRDefault="00BB343F" w:rsidP="00BB343F">
      <w:pPr>
        <w:pStyle w:val="A0"/>
        <w:ind w:left="2160"/>
      </w:pPr>
      <w:r>
        <w:t>1.</w:t>
      </w:r>
      <w:r>
        <w:tab/>
        <w:t>Comply with ACI 301 (ACI 301M) and ACI 306.1 for cold weather protection during curing.</w:t>
      </w:r>
    </w:p>
    <w:p w14:paraId="75035826" w14:textId="77777777" w:rsidR="00BB343F" w:rsidRDefault="00BB343F" w:rsidP="00BB343F">
      <w:pPr>
        <w:pStyle w:val="A0"/>
        <w:ind w:left="2160"/>
      </w:pPr>
      <w:r>
        <w:t>2.</w:t>
      </w:r>
      <w:r>
        <w:tab/>
        <w:t>Comply with ACI 301 (ACI 301M) and ACI 305.1 (ACI 305.1M) for hot-weather protection during curing.</w:t>
      </w:r>
    </w:p>
    <w:p w14:paraId="1C59A524" w14:textId="77777777" w:rsidR="00BB343F" w:rsidRDefault="00BB343F" w:rsidP="00BB343F">
      <w:pPr>
        <w:pStyle w:val="A0"/>
      </w:pPr>
    </w:p>
    <w:p w14:paraId="362108F5" w14:textId="2976A792" w:rsidR="00BB343F" w:rsidRPr="000126AA" w:rsidRDefault="00BB343F" w:rsidP="00BB343F">
      <w:pPr>
        <w:pStyle w:val="A0"/>
      </w:pPr>
      <w:r>
        <w:lastRenderedPageBreak/>
        <w:t>B.</w:t>
      </w:r>
      <w:r>
        <w:tab/>
      </w:r>
      <w:r w:rsidRPr="000126AA">
        <w:t xml:space="preserve">For concrete placement during hot, dry and windy conditions, and when moisture loss exceeds 0.15 </w:t>
      </w:r>
      <w:proofErr w:type="spellStart"/>
      <w:r w:rsidRPr="000126AA">
        <w:t>lb</w:t>
      </w:r>
      <w:proofErr w:type="spellEnd"/>
      <w:r w:rsidRPr="000126AA">
        <w:t>/sq. ft. x h (</w:t>
      </w:r>
      <w:r w:rsidR="000126AA">
        <w:t>0.73</w:t>
      </w:r>
      <w:r w:rsidRPr="000126AA">
        <w:t xml:space="preserve"> kg/sq. m x h) as</w:t>
      </w:r>
      <w:r w:rsidRPr="000126AA">
        <w:t xml:space="preserve"> </w:t>
      </w:r>
      <w:r w:rsidRPr="000126AA">
        <w:t xml:space="preserve">calculated in accordance with ACI 305 (see table below) use the specified </w:t>
      </w:r>
      <w:r w:rsidR="008B133C" w:rsidRPr="006947A0">
        <w:t>Surface Applied Evaporation Retarder</w:t>
      </w:r>
      <w:r w:rsidR="008B133C" w:rsidRPr="000126AA">
        <w:t xml:space="preserve"> </w:t>
      </w:r>
      <w:r w:rsidRPr="000126AA">
        <w:t xml:space="preserve">and </w:t>
      </w:r>
      <w:r w:rsidR="008B133C" w:rsidRPr="000126AA">
        <w:t xml:space="preserve">Integral Finishing Admixture </w:t>
      </w:r>
      <w:r w:rsidRPr="000126AA">
        <w:t>in accordance with manufacturer instructions to maintain a moist condition and to minimize plastic drying shrinkage cracking at the surface of the freshly placed concrete.</w:t>
      </w:r>
    </w:p>
    <w:p w14:paraId="2C615F4B" w14:textId="09DE6C15" w:rsidR="00BB343F" w:rsidRPr="000126AA" w:rsidRDefault="00BB343F" w:rsidP="00BB343F">
      <w:pPr>
        <w:pStyle w:val="A0"/>
        <w:ind w:left="2160"/>
      </w:pPr>
      <w:r w:rsidRPr="000126AA">
        <w:t>1.</w:t>
      </w:r>
      <w:r w:rsidRPr="000126AA">
        <w:tab/>
        <w:t xml:space="preserve">Apply </w:t>
      </w:r>
      <w:r w:rsidR="00D31BA3" w:rsidRPr="000126AA">
        <w:t xml:space="preserve">Surface Applied Evaporation Retarder </w:t>
      </w:r>
      <w:r w:rsidRPr="000126AA">
        <w:t>over fresh concrete as soon as possible after initial floating.</w:t>
      </w:r>
    </w:p>
    <w:p w14:paraId="2E91943E" w14:textId="08487561" w:rsidR="00BB343F" w:rsidRPr="000126AA" w:rsidRDefault="00BB343F" w:rsidP="00BB343F">
      <w:pPr>
        <w:pStyle w:val="A0"/>
        <w:ind w:left="2160"/>
      </w:pPr>
      <w:r w:rsidRPr="000126AA">
        <w:t>2.</w:t>
      </w:r>
      <w:r w:rsidRPr="000126AA">
        <w:tab/>
        <w:t xml:space="preserve">Do not </w:t>
      </w:r>
      <w:proofErr w:type="gramStart"/>
      <w:r w:rsidRPr="000126AA">
        <w:t>apply</w:t>
      </w:r>
      <w:proofErr w:type="gramEnd"/>
      <w:r w:rsidRPr="000126AA">
        <w:t xml:space="preserve"> </w:t>
      </w:r>
      <w:r w:rsidR="007B418A" w:rsidRPr="000126AA">
        <w:t xml:space="preserve">Surface Applied Evaporation </w:t>
      </w:r>
      <w:r w:rsidRPr="000126AA">
        <w:t>retarder as a final finishing aid.</w:t>
      </w:r>
    </w:p>
    <w:p w14:paraId="21F0D9C1" w14:textId="7881026B" w:rsidR="00BB343F" w:rsidRPr="006947A0" w:rsidRDefault="00BB343F" w:rsidP="00BB343F">
      <w:pPr>
        <w:pStyle w:val="A0"/>
        <w:ind w:left="2160"/>
        <w:rPr>
          <w:b/>
          <w:bCs/>
        </w:rPr>
      </w:pPr>
      <w:r w:rsidRPr="000126AA">
        <w:t>3.</w:t>
      </w:r>
      <w:r w:rsidRPr="000126AA">
        <w:tab/>
        <w:t xml:space="preserve">Do not immediately finish </w:t>
      </w:r>
      <w:proofErr w:type="gramStart"/>
      <w:r w:rsidR="007B418A" w:rsidRPr="000126AA">
        <w:t>Surface</w:t>
      </w:r>
      <w:proofErr w:type="gramEnd"/>
      <w:r w:rsidR="007B418A" w:rsidRPr="000126AA">
        <w:t xml:space="preserve"> Applied Evaporation Retarder </w:t>
      </w:r>
      <w:r w:rsidRPr="000126AA">
        <w:t xml:space="preserve">into </w:t>
      </w:r>
      <w:proofErr w:type="gramStart"/>
      <w:r w:rsidRPr="000126AA">
        <w:t>surface</w:t>
      </w:r>
      <w:proofErr w:type="gramEnd"/>
      <w:r w:rsidRPr="000126AA">
        <w:t>.</w:t>
      </w:r>
    </w:p>
    <w:p w14:paraId="2FDE82AD" w14:textId="77777777" w:rsidR="00BB343F" w:rsidRDefault="00BB343F" w:rsidP="00BB343F">
      <w:pPr>
        <w:pStyle w:val="A0"/>
        <w:ind w:left="0" w:firstLine="0"/>
      </w:pPr>
    </w:p>
    <w:p w14:paraId="0647FE38" w14:textId="77777777" w:rsidR="00BB343F" w:rsidRDefault="00BB343F" w:rsidP="00BB343F">
      <w:pPr>
        <w:pStyle w:val="A0"/>
        <w:ind w:left="0" w:firstLine="0"/>
      </w:pPr>
    </w:p>
    <w:p w14:paraId="12F055E1" w14:textId="49D04030" w:rsidR="00BB343F" w:rsidRDefault="00AA529E" w:rsidP="0076551C">
      <w:pPr>
        <w:pStyle w:val="A0"/>
        <w:ind w:left="0" w:firstLine="0"/>
        <w:jc w:val="center"/>
      </w:pPr>
      <w:r w:rsidRPr="0009581B">
        <w:rPr>
          <w:noProof/>
        </w:rPr>
        <w:drawing>
          <wp:inline distT="0" distB="0" distL="0" distR="0" wp14:anchorId="65ADFC1D" wp14:editId="74C7B5BB">
            <wp:extent cx="3818534" cy="5215182"/>
            <wp:effectExtent l="0" t="0" r="0" b="508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7986" cy="5255406"/>
                    </a:xfrm>
                    <a:prstGeom prst="rect">
                      <a:avLst/>
                    </a:prstGeom>
                    <a:noFill/>
                    <a:ln>
                      <a:noFill/>
                    </a:ln>
                  </pic:spPr>
                </pic:pic>
              </a:graphicData>
            </a:graphic>
          </wp:inline>
        </w:drawing>
      </w:r>
    </w:p>
    <w:p w14:paraId="43BF130A" w14:textId="77777777" w:rsidR="007B0D12" w:rsidRDefault="007B0D12" w:rsidP="00BB343F">
      <w:pPr>
        <w:pStyle w:val="GuideSpec"/>
      </w:pPr>
    </w:p>
    <w:p w14:paraId="7CA2FDCD" w14:textId="2AC78827" w:rsidR="00B93407" w:rsidRPr="009367EF" w:rsidRDefault="00BB343F" w:rsidP="00BB343F">
      <w:pPr>
        <w:pStyle w:val="GuideSpec"/>
      </w:pPr>
      <w:r>
        <w:t xml:space="preserve"> END OF GUIDE SPECIFICATION</w:t>
      </w:r>
    </w:p>
    <w:sectPr w:rsidR="00B93407" w:rsidRPr="009367EF" w:rsidSect="00F61B32">
      <w:headerReference w:type="even" r:id="rId10"/>
      <w:headerReference w:type="default" r:id="rId11"/>
      <w:footerReference w:type="default" r:id="rId12"/>
      <w:headerReference w:type="first" r:id="rId13"/>
      <w:pgSz w:w="12240" w:h="15840"/>
      <w:pgMar w:top="2700" w:right="1440" w:bottom="1440" w:left="1440"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2CE32" w14:textId="77777777" w:rsidR="005B1BF8" w:rsidRDefault="005B1BF8">
      <w:r>
        <w:separator/>
      </w:r>
    </w:p>
  </w:endnote>
  <w:endnote w:type="continuationSeparator" w:id="0">
    <w:p w14:paraId="69D11169" w14:textId="77777777" w:rsidR="005B1BF8" w:rsidRDefault="005B1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9898548"/>
      <w:docPartObj>
        <w:docPartGallery w:val="Page Numbers (Bottom of Page)"/>
        <w:docPartUnique/>
      </w:docPartObj>
    </w:sdtPr>
    <w:sdtEndPr>
      <w:rPr>
        <w:noProof/>
      </w:rPr>
    </w:sdtEndPr>
    <w:sdtContent>
      <w:p w14:paraId="50FEF56E" w14:textId="303DB543" w:rsidR="00412BDE" w:rsidRDefault="00C1562E">
        <w:pPr>
          <w:pStyle w:val="Footer"/>
          <w:jc w:val="center"/>
        </w:pPr>
        <w:r>
          <w:rPr>
            <w:noProof/>
          </w:rPr>
          <mc:AlternateContent>
            <mc:Choice Requires="wps">
              <w:drawing>
                <wp:anchor distT="0" distB="0" distL="114300" distR="114300" simplePos="0" relativeHeight="251659264" behindDoc="0" locked="0" layoutInCell="1" allowOverlap="1" wp14:anchorId="4A5F93B8" wp14:editId="16261841">
                  <wp:simplePos x="0" y="0"/>
                  <wp:positionH relativeFrom="column">
                    <wp:posOffset>4974336</wp:posOffset>
                  </wp:positionH>
                  <wp:positionV relativeFrom="paragraph">
                    <wp:posOffset>10362</wp:posOffset>
                  </wp:positionV>
                  <wp:extent cx="1616659" cy="226771"/>
                  <wp:effectExtent l="0" t="0" r="3175" b="1905"/>
                  <wp:wrapNone/>
                  <wp:docPr id="1417394753" name="Text Box 3"/>
                  <wp:cNvGraphicFramePr/>
                  <a:graphic xmlns:a="http://schemas.openxmlformats.org/drawingml/2006/main">
                    <a:graphicData uri="http://schemas.microsoft.com/office/word/2010/wordprocessingShape">
                      <wps:wsp>
                        <wps:cNvSpPr txBox="1"/>
                        <wps:spPr>
                          <a:xfrm>
                            <a:off x="0" y="0"/>
                            <a:ext cx="1616659" cy="226771"/>
                          </a:xfrm>
                          <a:prstGeom prst="rect">
                            <a:avLst/>
                          </a:prstGeom>
                          <a:solidFill>
                            <a:schemeClr val="lt1"/>
                          </a:solidFill>
                          <a:ln w="6350">
                            <a:noFill/>
                          </a:ln>
                        </wps:spPr>
                        <wps:txbx>
                          <w:txbxContent>
                            <w:p w14:paraId="5F52315D" w14:textId="2A85C50E" w:rsidR="00C1562E" w:rsidRPr="0076551C" w:rsidRDefault="00872082">
                              <w:pPr>
                                <w:rPr>
                                  <w:rFonts w:ascii="Arial" w:hAnsi="Arial" w:cs="Arial"/>
                                  <w:sz w:val="16"/>
                                  <w:szCs w:val="16"/>
                                </w:rPr>
                              </w:pPr>
                              <w:r w:rsidRPr="0076551C">
                                <w:rPr>
                                  <w:rFonts w:ascii="Arial" w:hAnsi="Arial" w:cs="Arial"/>
                                  <w:sz w:val="16"/>
                                  <w:szCs w:val="16"/>
                                </w:rPr>
                                <w:t>July 2025 - Hansen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5F93B8" id="_x0000_t202" coordsize="21600,21600" o:spt="202" path="m,l,21600r21600,l21600,xe">
                  <v:stroke joinstyle="miter"/>
                  <v:path gradientshapeok="t" o:connecttype="rect"/>
                </v:shapetype>
                <v:shape id="Text Box 3" o:spid="_x0000_s1026" type="#_x0000_t202" style="position:absolute;left:0;text-align:left;margin-left:391.7pt;margin-top:.8pt;width:127.3pt;height:17.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" fillcolor="white [3201]" stroked="f" strokeweight=".5pt">
                  <v:textbox>
                    <w:txbxContent>
                      <w:p w14:paraId="5F52315D" w14:textId="2A85C50E" w:rsidR="00C1562E" w:rsidRPr="0076551C" w:rsidRDefault="00872082">
                        <w:pPr>
                          <w:rPr>
                            <w:rFonts w:ascii="Arial" w:hAnsi="Arial" w:cs="Arial"/>
                            <w:sz w:val="16"/>
                            <w:szCs w:val="16"/>
                          </w:rPr>
                        </w:pPr>
                        <w:r w:rsidRPr="0076551C">
                          <w:rPr>
                            <w:rFonts w:ascii="Arial" w:hAnsi="Arial" w:cs="Arial"/>
                            <w:sz w:val="16"/>
                            <w:szCs w:val="16"/>
                          </w:rPr>
                          <w:t>July 2025 - Hansen</w:t>
                        </w:r>
                      </w:p>
                    </w:txbxContent>
                  </v:textbox>
                </v:shape>
              </w:pict>
            </mc:Fallback>
          </mc:AlternateContent>
        </w:r>
        <w:r w:rsidR="00412BDE">
          <w:fldChar w:fldCharType="begin"/>
        </w:r>
        <w:r w:rsidR="00412BDE">
          <w:instrText xml:space="preserve"> PAGE   \* MERGEFORMAT </w:instrText>
        </w:r>
        <w:r w:rsidR="00412BDE">
          <w:fldChar w:fldCharType="separate"/>
        </w:r>
        <w:r w:rsidR="00412BDE">
          <w:rPr>
            <w:noProof/>
          </w:rPr>
          <w:t>2</w:t>
        </w:r>
        <w:r w:rsidR="00412BDE">
          <w:rPr>
            <w:noProof/>
          </w:rPr>
          <w:fldChar w:fldCharType="end"/>
        </w:r>
        <w:r w:rsidR="00412BDE">
          <w:rPr>
            <w:noProof/>
          </w:rPr>
          <w:t xml:space="preserve"> of 2</w:t>
        </w:r>
      </w:p>
    </w:sdtContent>
  </w:sdt>
  <w:p w14:paraId="6CFF8E5B" w14:textId="6654744F" w:rsidR="002766BC" w:rsidRDefault="008E06B6" w:rsidP="00B606DB">
    <w:pPr>
      <w:pStyle w:val="Footer"/>
      <w:tabs>
        <w:tab w:val="clear" w:pos="4320"/>
        <w:tab w:val="clear" w:pos="8640"/>
        <w:tab w:val="left" w:pos="1800"/>
      </w:tabs>
      <w:ind w:left="-1080"/>
    </w:pPr>
    <w:r>
      <w:rPr>
        <w:noProof/>
      </w:rPr>
      <w:pict w14:anchorId="2D01D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1043" type="#_x0000_t75" style="position:absolute;left:0;text-align:left;margin-left:-71.95pt;margin-top:-130.9pt;width:612pt;height:792.25pt;z-index:-251658240;mso-position-horizontal-relative:margin;mso-position-vertical-relative:margin" o:allowincell="f">
          <v:imagedata r:id="rId1" o:title="Digital_Letterhead_FOOTER2"/>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06907" w14:textId="77777777" w:rsidR="005B1BF8" w:rsidRDefault="005B1BF8">
      <w:r>
        <w:separator/>
      </w:r>
    </w:p>
  </w:footnote>
  <w:footnote w:type="continuationSeparator" w:id="0">
    <w:p w14:paraId="32F438B8" w14:textId="77777777" w:rsidR="005B1BF8" w:rsidRDefault="005B1B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DFAB2" w14:textId="77777777" w:rsidR="00F61B32" w:rsidRDefault="008E06B6">
    <w:pPr>
      <w:pStyle w:val="Header"/>
    </w:pPr>
    <w:r>
      <w:rPr>
        <w:noProof/>
      </w:rPr>
      <w:pict w14:anchorId="680A9F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1041" type="#_x0000_t75" style="position:absolute;margin-left:0;margin-top:0;width:612pt;height:792.1pt;z-index:-251659264;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429F9" w14:textId="77777777" w:rsidR="00F61B32" w:rsidRDefault="00F61B32" w:rsidP="00F61B32">
    <w:pPr>
      <w:pStyle w:val="Header"/>
      <w:tabs>
        <w:tab w:val="clear" w:pos="4320"/>
        <w:tab w:val="clear" w:pos="8640"/>
      </w:tabs>
      <w:ind w:left="-270"/>
      <w:jc w:val="center"/>
      <w:rPr>
        <w:rFonts w:ascii="Helvetica" w:hAnsi="Helvetica"/>
        <w:color w:val="80808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92EB5" w14:textId="77777777" w:rsidR="00F61B32" w:rsidRDefault="008E06B6">
    <w:pPr>
      <w:pStyle w:val="Header"/>
    </w:pPr>
    <w:r>
      <w:rPr>
        <w:noProof/>
      </w:rPr>
      <w:pict w14:anchorId="3ADCE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1040" type="#_x0000_t75" style="position:absolute;margin-left:0;margin-top:0;width:612pt;height:792.1pt;z-index:-251660288;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15:restartNumberingAfterBreak="0">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15:restartNumberingAfterBreak="0">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 w15:restartNumberingAfterBreak="0">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4" w15:restartNumberingAfterBreak="0">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15:restartNumberingAfterBreak="0">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15:restartNumberingAfterBreak="0">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16cid:durableId="1901092818">
    <w:abstractNumId w:val="11"/>
  </w:num>
  <w:num w:numId="2" w16cid:durableId="881359162">
    <w:abstractNumId w:val="3"/>
  </w:num>
  <w:num w:numId="3" w16cid:durableId="90972216">
    <w:abstractNumId w:val="0"/>
  </w:num>
  <w:num w:numId="4" w16cid:durableId="921186814">
    <w:abstractNumId w:val="8"/>
  </w:num>
  <w:num w:numId="5" w16cid:durableId="420027503">
    <w:abstractNumId w:val="10"/>
  </w:num>
  <w:num w:numId="6" w16cid:durableId="2020816718">
    <w:abstractNumId w:val="2"/>
  </w:num>
  <w:num w:numId="7" w16cid:durableId="1574124031">
    <w:abstractNumId w:val="9"/>
  </w:num>
  <w:num w:numId="8" w16cid:durableId="532546321">
    <w:abstractNumId w:val="14"/>
  </w:num>
  <w:num w:numId="9" w16cid:durableId="1268998933">
    <w:abstractNumId w:val="13"/>
  </w:num>
  <w:num w:numId="10" w16cid:durableId="1590187698">
    <w:abstractNumId w:val="4"/>
  </w:num>
  <w:num w:numId="11" w16cid:durableId="1042171116">
    <w:abstractNumId w:val="5"/>
  </w:num>
  <w:num w:numId="12" w16cid:durableId="1670324406">
    <w:abstractNumId w:val="15"/>
  </w:num>
  <w:num w:numId="13" w16cid:durableId="733746399">
    <w:abstractNumId w:val="1"/>
  </w:num>
  <w:num w:numId="14" w16cid:durableId="1869173646">
    <w:abstractNumId w:val="16"/>
  </w:num>
  <w:num w:numId="15" w16cid:durableId="731733427">
    <w:abstractNumId w:val="17"/>
  </w:num>
  <w:num w:numId="16" w16cid:durableId="1965384234">
    <w:abstractNumId w:val="12"/>
  </w:num>
  <w:num w:numId="17" w16cid:durableId="895511311">
    <w:abstractNumId w:val="7"/>
  </w:num>
  <w:num w:numId="18" w16cid:durableId="19175959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607"/>
    <w:rsid w:val="00004534"/>
    <w:rsid w:val="00007D19"/>
    <w:rsid w:val="000126AA"/>
    <w:rsid w:val="00032389"/>
    <w:rsid w:val="000646EE"/>
    <w:rsid w:val="00072C3F"/>
    <w:rsid w:val="00091FEE"/>
    <w:rsid w:val="00096144"/>
    <w:rsid w:val="000B2178"/>
    <w:rsid w:val="000C0CB3"/>
    <w:rsid w:val="000E465E"/>
    <w:rsid w:val="000F0AD0"/>
    <w:rsid w:val="00131FA9"/>
    <w:rsid w:val="00133D5F"/>
    <w:rsid w:val="00137567"/>
    <w:rsid w:val="00142DB6"/>
    <w:rsid w:val="0015029E"/>
    <w:rsid w:val="001759DF"/>
    <w:rsid w:val="00193F92"/>
    <w:rsid w:val="001A404A"/>
    <w:rsid w:val="001C08E5"/>
    <w:rsid w:val="001C6E84"/>
    <w:rsid w:val="00206E10"/>
    <w:rsid w:val="00215230"/>
    <w:rsid w:val="002444BC"/>
    <w:rsid w:val="0025425E"/>
    <w:rsid w:val="00265387"/>
    <w:rsid w:val="00267E99"/>
    <w:rsid w:val="00274B03"/>
    <w:rsid w:val="002766BC"/>
    <w:rsid w:val="0029048B"/>
    <w:rsid w:val="002B7843"/>
    <w:rsid w:val="002D00A1"/>
    <w:rsid w:val="002D64B0"/>
    <w:rsid w:val="002E6938"/>
    <w:rsid w:val="003310FA"/>
    <w:rsid w:val="003319C1"/>
    <w:rsid w:val="00334DEF"/>
    <w:rsid w:val="00346CBD"/>
    <w:rsid w:val="00361D75"/>
    <w:rsid w:val="00380F81"/>
    <w:rsid w:val="00381DD1"/>
    <w:rsid w:val="00394A62"/>
    <w:rsid w:val="0039711C"/>
    <w:rsid w:val="00397DA9"/>
    <w:rsid w:val="003A18B7"/>
    <w:rsid w:val="003D0CB8"/>
    <w:rsid w:val="003E5BE0"/>
    <w:rsid w:val="003E7EDE"/>
    <w:rsid w:val="00412BDE"/>
    <w:rsid w:val="00435469"/>
    <w:rsid w:val="00443692"/>
    <w:rsid w:val="0049406A"/>
    <w:rsid w:val="00497B1A"/>
    <w:rsid w:val="004A0767"/>
    <w:rsid w:val="004A345B"/>
    <w:rsid w:val="004C773A"/>
    <w:rsid w:val="004D3675"/>
    <w:rsid w:val="004E0D88"/>
    <w:rsid w:val="004E60F5"/>
    <w:rsid w:val="004E6C26"/>
    <w:rsid w:val="004F7DE5"/>
    <w:rsid w:val="00527300"/>
    <w:rsid w:val="0055413F"/>
    <w:rsid w:val="005B1BF8"/>
    <w:rsid w:val="005D1CE1"/>
    <w:rsid w:val="005D6DAA"/>
    <w:rsid w:val="005F4C92"/>
    <w:rsid w:val="0061679B"/>
    <w:rsid w:val="006178AB"/>
    <w:rsid w:val="006260B1"/>
    <w:rsid w:val="006326D8"/>
    <w:rsid w:val="00642A21"/>
    <w:rsid w:val="00671E12"/>
    <w:rsid w:val="00675205"/>
    <w:rsid w:val="006808A8"/>
    <w:rsid w:val="006913F9"/>
    <w:rsid w:val="006947A0"/>
    <w:rsid w:val="006D1F8B"/>
    <w:rsid w:val="006E7CC4"/>
    <w:rsid w:val="006F6CE1"/>
    <w:rsid w:val="00757DD0"/>
    <w:rsid w:val="0076551C"/>
    <w:rsid w:val="007B0D12"/>
    <w:rsid w:val="007B2A26"/>
    <w:rsid w:val="007B418A"/>
    <w:rsid w:val="007D2E45"/>
    <w:rsid w:val="00816926"/>
    <w:rsid w:val="00824ED7"/>
    <w:rsid w:val="00825C65"/>
    <w:rsid w:val="008419AC"/>
    <w:rsid w:val="00872082"/>
    <w:rsid w:val="008B133C"/>
    <w:rsid w:val="008C0018"/>
    <w:rsid w:val="008D24DB"/>
    <w:rsid w:val="008D6404"/>
    <w:rsid w:val="008E06B6"/>
    <w:rsid w:val="008E77EE"/>
    <w:rsid w:val="008F2A88"/>
    <w:rsid w:val="008F4E65"/>
    <w:rsid w:val="00901B89"/>
    <w:rsid w:val="00903866"/>
    <w:rsid w:val="009367EF"/>
    <w:rsid w:val="009404DF"/>
    <w:rsid w:val="009559EB"/>
    <w:rsid w:val="0095637E"/>
    <w:rsid w:val="00986B65"/>
    <w:rsid w:val="00987A59"/>
    <w:rsid w:val="00992405"/>
    <w:rsid w:val="0099702B"/>
    <w:rsid w:val="009A24EE"/>
    <w:rsid w:val="009C2364"/>
    <w:rsid w:val="009D55E5"/>
    <w:rsid w:val="00A059AF"/>
    <w:rsid w:val="00A16628"/>
    <w:rsid w:val="00A25B58"/>
    <w:rsid w:val="00A35E4A"/>
    <w:rsid w:val="00A426EB"/>
    <w:rsid w:val="00A7329A"/>
    <w:rsid w:val="00AA529E"/>
    <w:rsid w:val="00AB08F5"/>
    <w:rsid w:val="00AD2988"/>
    <w:rsid w:val="00AE2032"/>
    <w:rsid w:val="00AE6D0B"/>
    <w:rsid w:val="00AF03A9"/>
    <w:rsid w:val="00B1171E"/>
    <w:rsid w:val="00B36F4D"/>
    <w:rsid w:val="00B50398"/>
    <w:rsid w:val="00B606DB"/>
    <w:rsid w:val="00B615EA"/>
    <w:rsid w:val="00B61909"/>
    <w:rsid w:val="00B7329C"/>
    <w:rsid w:val="00B93407"/>
    <w:rsid w:val="00BA0CAC"/>
    <w:rsid w:val="00BA53E2"/>
    <w:rsid w:val="00BA6550"/>
    <w:rsid w:val="00BB343F"/>
    <w:rsid w:val="00BC7880"/>
    <w:rsid w:val="00BF6EC0"/>
    <w:rsid w:val="00C05F98"/>
    <w:rsid w:val="00C12A8B"/>
    <w:rsid w:val="00C1562E"/>
    <w:rsid w:val="00C27233"/>
    <w:rsid w:val="00C52694"/>
    <w:rsid w:val="00C7444A"/>
    <w:rsid w:val="00C77556"/>
    <w:rsid w:val="00CD6817"/>
    <w:rsid w:val="00D04427"/>
    <w:rsid w:val="00D14632"/>
    <w:rsid w:val="00D17B09"/>
    <w:rsid w:val="00D31BA3"/>
    <w:rsid w:val="00D506DD"/>
    <w:rsid w:val="00D92022"/>
    <w:rsid w:val="00D96C89"/>
    <w:rsid w:val="00DA6789"/>
    <w:rsid w:val="00DC1BBF"/>
    <w:rsid w:val="00DC783C"/>
    <w:rsid w:val="00DD5EF4"/>
    <w:rsid w:val="00DE3534"/>
    <w:rsid w:val="00DF477F"/>
    <w:rsid w:val="00DF77D2"/>
    <w:rsid w:val="00E0109D"/>
    <w:rsid w:val="00E01B1F"/>
    <w:rsid w:val="00E20F88"/>
    <w:rsid w:val="00E23290"/>
    <w:rsid w:val="00E323FD"/>
    <w:rsid w:val="00E50DF0"/>
    <w:rsid w:val="00E64607"/>
    <w:rsid w:val="00E77794"/>
    <w:rsid w:val="00E87799"/>
    <w:rsid w:val="00E97826"/>
    <w:rsid w:val="00ED38A0"/>
    <w:rsid w:val="00EF5E82"/>
    <w:rsid w:val="00EF6430"/>
    <w:rsid w:val="00F11144"/>
    <w:rsid w:val="00F112CD"/>
    <w:rsid w:val="00F23700"/>
    <w:rsid w:val="00F272C2"/>
    <w:rsid w:val="00F61B32"/>
    <w:rsid w:val="00F631AA"/>
    <w:rsid w:val="00F64B86"/>
    <w:rsid w:val="00F804A2"/>
    <w:rsid w:val="00F85646"/>
    <w:rsid w:val="00FF1035"/>
    <w:rsid w:val="00FF5F3B"/>
    <w:rsid w:val="00FF7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3062D4"/>
  <w15:chartTrackingRefBased/>
  <w15:docId w15:val="{94D7ED51-3915-4599-B813-A501E74FE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uiPriority w:val="99"/>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link w:val="1"/>
    <w:rsid w:val="008419AC"/>
    <w:rPr>
      <w:rFonts w:ascii="Helvetica" w:eastAsia="Times New Roman" w:hAnsi="Helvetica"/>
    </w:rPr>
  </w:style>
  <w:style w:type="character" w:customStyle="1" w:styleId="aChar1">
    <w:name w:val="a]] 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link w:val="guideHEADER"/>
    <w:rsid w:val="006913F9"/>
    <w:rPr>
      <w:rFonts w:ascii="Helvetica" w:eastAsia="Times New Roman" w:hAnsi="Helvetica"/>
      <w:b/>
      <w:sz w:val="32"/>
      <w:szCs w:val="32"/>
    </w:rPr>
  </w:style>
  <w:style w:type="character" w:customStyle="1" w:styleId="guideSUBHEADChar">
    <w:name w:val="guideSUBHEAD Char"/>
    <w:link w:val="guideSUBHEAD"/>
    <w:rsid w:val="006913F9"/>
    <w:rPr>
      <w:rFonts w:ascii="Helvetica" w:eastAsia="Times New Roman" w:hAnsi="Helvetica"/>
      <w:b/>
      <w:sz w:val="24"/>
      <w:szCs w:val="24"/>
    </w:rPr>
  </w:style>
  <w:style w:type="paragraph" w:styleId="Revision">
    <w:name w:val="Revision"/>
    <w:hidden/>
    <w:uiPriority w:val="99"/>
    <w:semiHidden/>
    <w:rsid w:val="00825C65"/>
    <w:rPr>
      <w:rFonts w:ascii="Times New Roman" w:eastAsia="Times New Roman" w:hAnsi="Times New Roman"/>
      <w:sz w:val="24"/>
      <w:szCs w:val="24"/>
    </w:rPr>
  </w:style>
  <w:style w:type="character" w:customStyle="1" w:styleId="FooterChar">
    <w:name w:val="Footer Char"/>
    <w:basedOn w:val="DefaultParagraphFont"/>
    <w:link w:val="Footer"/>
    <w:uiPriority w:val="99"/>
    <w:rsid w:val="00412BDE"/>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D815E-B4A3-4399-B872-CB818C5AC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8</TotalTime>
  <Pages>2</Pages>
  <Words>512</Words>
  <Characters>2922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subject/>
  <dc:creator>KORCZYAL</dc:creator>
  <cp:keywords/>
  <cp:lastModifiedBy>Hansen, Matthew R.</cp:lastModifiedBy>
  <cp:revision>8</cp:revision>
  <cp:lastPrinted>2014-12-18T19:38:00Z</cp:lastPrinted>
  <dcterms:created xsi:type="dcterms:W3CDTF">2025-07-01T14:47:00Z</dcterms:created>
  <dcterms:modified xsi:type="dcterms:W3CDTF">2025-07-01T14:52:00Z</dcterms:modified>
</cp:coreProperties>
</file>